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sz w:val="32"/>
        </w:rPr>
        <w:t>应用概述：</w:t>
      </w:r>
    </w:p>
    <w:p>
      <w:r>
        <w:rPr>
          <w:color w:val="121212"/>
          <w:sz w:val="20"/>
        </w:rPr>
        <w:t>满足企业各类采购、招标业务需要，提供采购、招投标工作的全过程数字化。</w:t>
      </w:r>
    </w:p>
    <w:p>
      <w:pPr>
        <w:ind w:firstLine="480"/>
        <w:rPr>
          <w:color w:val="121212"/>
          <w:sz w:val="20"/>
        </w:rPr>
      </w:pPr>
      <w:r>
        <w:rPr>
          <w:color w:val="121212"/>
          <w:sz w:val="20"/>
        </w:rPr>
        <w:t>可以按照每个操作用户设置软件的操作流程，让操作者流程清晰、一目了然，操作简便易学，工序化快速实施方法，可让企业快速实施，并且立竿见影。</w:t>
      </w:r>
    </w:p>
    <w:p>
      <w:bookmarkStart w:id="0" w:name="_GoBack"/>
      <w:bookmarkEnd w:id="0"/>
      <w:r>
        <w:drawing>
          <wp:inline distT="0" distB="0" distL="0" distR="0">
            <wp:extent cx="6191250" cy="2171700"/>
            <wp:effectExtent l="0" t="0" r="0" b="0"/>
            <wp:docPr id="1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1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b/>
          <w:sz w:val="32"/>
        </w:rPr>
        <w:t>应用特点/优势：解决投标三大问题</w:t>
      </w: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3318"/>
        <w:gridCol w:w="3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14" w:type="dxa"/>
            <w:shd w:val="clear" w:color="auto" w:fill="E6F3FF"/>
            <w:vAlign w:val="top"/>
          </w:tcPr>
          <w:p>
            <w:pPr>
              <w:jc w:val="center"/>
            </w:pPr>
            <w:r>
              <w:rPr>
                <w:b/>
                <w:sz w:val="24"/>
              </w:rPr>
              <w:t>1 、降低成本</w:t>
            </w:r>
          </w:p>
          <w:p>
            <w:r>
              <w:rPr>
                <w:rFonts w:ascii="-apple-system" w:hAnsi="-apple-system" w:eastAsia="-apple-system" w:cs="-apple-system"/>
                <w:color w:val="121212"/>
                <w:sz w:val="24"/>
              </w:rPr>
              <w:t xml:space="preserve">  降低招标成本：增强采购竞争，降低采购成本，引入竟价方式，增强竞争性，降低采购价格;价格谈判信息决策支持，增强谈判力;缩短采购周期，降低采购资金成本;提高作业效率，降低采购费用和人工成本。</w:t>
            </w:r>
          </w:p>
        </w:tc>
        <w:tc>
          <w:tcPr>
            <w:tcW w:w="3514" w:type="dxa"/>
            <w:shd w:val="clear" w:color="auto" w:fill="FBF3DB"/>
            <w:vAlign w:val="top"/>
          </w:tcPr>
          <w:p>
            <w:pPr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 xml:space="preserve"> 2、</w:t>
            </w:r>
            <w:r>
              <w:rPr>
                <w:rFonts w:ascii="-apple-system" w:hAnsi="-apple-system" w:eastAsia="-apple-system" w:cs="-apple-system"/>
                <w:color w:val="121212"/>
                <w:sz w:val="24"/>
              </w:rPr>
              <w:t>规范采购流程</w:t>
            </w:r>
          </w:p>
          <w:p>
            <w:r>
              <w:t xml:space="preserve">  </w:t>
            </w:r>
            <w:r>
              <w:rPr>
                <w:rFonts w:ascii="-apple-system" w:hAnsi="-apple-system" w:eastAsia="-apple-system" w:cs="-apple-system"/>
                <w:color w:val="121212"/>
                <w:sz w:val="24"/>
              </w:rPr>
              <w:t>规范采购流程，实现阳光采购，规范请购、采购、审批流程，流程制度化;严格采购权限管理，采购受控;透明决策过程;自动记录采购过程信息，易于采购审计。</w:t>
            </w:r>
          </w:p>
        </w:tc>
        <w:tc>
          <w:tcPr>
            <w:tcW w:w="3514" w:type="dxa"/>
            <w:shd w:val="clear" w:color="auto" w:fill="ECF9F0"/>
            <w:vAlign w:val="top"/>
          </w:tcPr>
          <w:p>
            <w:pPr>
              <w:jc w:val="center"/>
            </w:pPr>
            <w:r>
              <w:t xml:space="preserve">   3</w:t>
            </w:r>
            <w:r>
              <w:rPr>
                <w:b/>
              </w:rPr>
              <w:t xml:space="preserve"> 、</w:t>
            </w:r>
            <w:r>
              <w:rPr>
                <w:rFonts w:ascii="-apple-system" w:hAnsi="-apple-system" w:eastAsia="-apple-system" w:cs="-apple-system"/>
                <w:color w:val="121212"/>
                <w:sz w:val="24"/>
              </w:rPr>
              <w:t>提高招标效率</w:t>
            </w:r>
          </w:p>
          <w:p>
            <w:r>
              <w:rPr>
                <w:rFonts w:ascii="-apple-system" w:hAnsi="-apple-system" w:eastAsia="-apple-system" w:cs="-apple-system"/>
                <w:color w:val="121212"/>
                <w:sz w:val="24"/>
              </w:rPr>
              <w:t>提高招标效率，实现招标工作价值转换，文书作业信息化;采购审批自动化，提高采购决策效率;采购流程电化，提升采购过程效率;订单协同网络化，提高订单处理效率。</w:t>
            </w:r>
          </w:p>
        </w:tc>
      </w:tr>
    </w:tbl>
    <w:p>
      <w:pPr>
        <w:jc w:val="right"/>
      </w:pPr>
      <w:r>
        <w:drawing>
          <wp:inline distT="0" distB="0" distL="0" distR="0">
            <wp:extent cx="1190625" cy="1162050"/>
            <wp:effectExtent l="0" t="0" r="0" b="0"/>
            <wp:docPr id="2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r>
        <w:rPr>
          <w:b/>
          <w:sz w:val="32"/>
        </w:rPr>
        <w:t>适用企业/场景</w:t>
      </w:r>
    </w:p>
    <w:p>
      <w:r>
        <w:t>适用铁路、公路、水运、水电、广电等专业工程或建筑咨询公司</w:t>
      </w:r>
    </w:p>
    <w:p>
      <w:pPr>
        <w:jc w:val="right"/>
      </w:pPr>
      <w:r>
        <w:drawing>
          <wp:inline distT="0" distB="0" distL="0" distR="0">
            <wp:extent cx="3067050" cy="2038350"/>
            <wp:effectExtent l="0" t="0" r="0" b="0"/>
            <wp:docPr id="3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b/>
          <w:color w:val="000000"/>
          <w:sz w:val="22"/>
        </w:rPr>
        <w:t>各功能模块操作方法：</w:t>
      </w:r>
    </w:p>
    <w:p>
      <w:r>
        <w:rPr>
          <w:b/>
          <w:color w:val="000000"/>
          <w:sz w:val="22"/>
        </w:rPr>
        <w:t>基本类</w:t>
      </w:r>
    </w:p>
    <w:p>
      <w:pPr>
        <w:numPr>
          <w:ilvl w:val="0"/>
          <w:numId w:val="1"/>
        </w:numPr>
      </w:pPr>
      <w:r>
        <w:rPr>
          <w:b/>
          <w:color w:val="000000"/>
          <w:sz w:val="22"/>
        </w:rPr>
        <w:t>投标备案</w:t>
      </w:r>
    </w:p>
    <w:p>
      <w:r>
        <w:t>填写项目基本信息、招标信息、日历，只读字段为其他表单（费用类、保证金类、中标状态类）写入</w:t>
      </w:r>
    </w:p>
    <w:p>
      <w:r>
        <w:drawing>
          <wp:inline distT="0" distB="0" distL="0" distR="0">
            <wp:extent cx="6191250" cy="2979420"/>
            <wp:effectExtent l="0" t="0" r="0" b="0"/>
            <wp:docPr id="4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7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2.外部投标申请</w:t>
      </w:r>
    </w:p>
    <w:p>
      <w:r>
        <w:t>填写项目基本信息、招标信息、联系方式</w:t>
      </w:r>
    </w:p>
    <w:p>
      <w:r>
        <w:drawing>
          <wp:inline distT="0" distB="0" distL="0" distR="0">
            <wp:extent cx="3295650" cy="1760220"/>
            <wp:effectExtent l="0" t="0" r="0" b="0"/>
            <wp:docPr id="5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3.保函申请</w:t>
      </w:r>
    </w:p>
    <w:p>
      <w:r>
        <w:t>填写项目基本信息、收款单位信息，只读字段为其他表单（费用类）写入</w:t>
      </w:r>
    </w:p>
    <w:p>
      <w:r>
        <w:drawing>
          <wp:inline distT="0" distB="0" distL="0" distR="0">
            <wp:extent cx="3295650" cy="1682750"/>
            <wp:effectExtent l="0" t="0" r="0" b="0"/>
            <wp:docPr id="6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b/>
          <w:color w:val="000000"/>
          <w:sz w:val="22"/>
        </w:rPr>
        <w:t>日历类</w:t>
      </w:r>
    </w:p>
    <w:p>
      <w:r>
        <w:t>1.</w:t>
      </w:r>
      <w:r>
        <w:rPr>
          <w:color w:val="171A1D"/>
          <w:sz w:val="24"/>
          <w:shd w:val="clear" w:color="auto" w:fill="E5E6E8"/>
        </w:rPr>
        <w:t>投标日历</w:t>
      </w:r>
    </w:p>
    <w:p>
      <w:r>
        <w:t>数据由填写投标备案-</w:t>
      </w:r>
      <w:r>
        <w:rPr>
          <w:rFonts w:ascii="PingFang SC" w:hAnsi="PingFang SC" w:eastAsia="PingFang SC" w:cs="PingFang SC"/>
          <w:color w:val="333333"/>
          <w:sz w:val="24"/>
        </w:rPr>
        <w:t>投标日历后添加</w:t>
      </w:r>
    </w:p>
    <w:p>
      <w:r>
        <w:drawing>
          <wp:inline distT="0" distB="0" distL="0" distR="0">
            <wp:extent cx="3295650" cy="1986915"/>
            <wp:effectExtent l="0" t="0" r="0" b="0"/>
            <wp:docPr id="7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b/>
          <w:color w:val="000000"/>
          <w:sz w:val="22"/>
        </w:rPr>
        <w:t>费用类</w:t>
      </w:r>
    </w:p>
    <w:p>
      <w:pPr>
        <w:numPr>
          <w:ilvl w:val="0"/>
          <w:numId w:val="2"/>
        </w:numPr>
      </w:pPr>
      <w:r>
        <w:rPr>
          <w:b/>
          <w:color w:val="000000"/>
          <w:sz w:val="22"/>
        </w:rPr>
        <w:t>投标费用报销</w:t>
      </w:r>
    </w:p>
    <w:p>
      <w:r>
        <w:t>关联项目基本信息，当前表单子表对应项目，增加“投标备案”报销金额</w:t>
      </w:r>
    </w:p>
    <w:p>
      <w:r>
        <w:drawing>
          <wp:inline distT="0" distB="0" distL="0" distR="0">
            <wp:extent cx="3295650" cy="1602740"/>
            <wp:effectExtent l="0" t="0" r="0" b="0"/>
            <wp:docPr id="8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r>
        <w:rPr>
          <w:b/>
          <w:color w:val="000000"/>
          <w:sz w:val="22"/>
        </w:rPr>
        <w:t>售票登记</w:t>
      </w:r>
    </w:p>
    <w:p>
      <w:r>
        <w:t>关联项目信息、保函信息，更新投标备案（收票金额、税额）、更新保函申请（收票状态</w:t>
      </w:r>
    </w:p>
    <w:p>
      <w:r>
        <w:drawing>
          <wp:inline distT="0" distB="0" distL="0" distR="0">
            <wp:extent cx="3295650" cy="1586865"/>
            <wp:effectExtent l="0" t="0" r="0" b="0"/>
            <wp:docPr id="9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  <w:color w:val="000000"/>
          <w:sz w:val="22"/>
        </w:rPr>
        <w:t>保证金类</w:t>
      </w:r>
    </w:p>
    <w:p>
      <w:pPr>
        <w:numPr>
          <w:ilvl w:val="0"/>
          <w:numId w:val="3"/>
        </w:numPr>
      </w:pPr>
      <w:r>
        <w:rPr>
          <w:b/>
          <w:color w:val="000000"/>
          <w:sz w:val="22"/>
        </w:rPr>
        <w:t>保证金申请</w:t>
      </w:r>
    </w:p>
    <w:p>
      <w:r>
        <w:t>关联项目信息，更新金额状态</w:t>
      </w:r>
    </w:p>
    <w:p>
      <w:r>
        <w:drawing>
          <wp:inline distT="0" distB="0" distL="0" distR="0">
            <wp:extent cx="3295650" cy="1649730"/>
            <wp:effectExtent l="0" t="0" r="0" b="0"/>
            <wp:docPr id="10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4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3"/>
        </w:numPr>
      </w:pPr>
      <w:r>
        <w:rPr>
          <w:b/>
          <w:color w:val="000000"/>
          <w:sz w:val="22"/>
        </w:rPr>
        <w:t>保证金退还登记</w:t>
      </w:r>
    </w:p>
    <w:p>
      <w:r>
        <w:t>关联保证金信息，更新金额状态</w:t>
      </w:r>
    </w:p>
    <w:p>
      <w:r>
        <w:drawing>
          <wp:inline distT="0" distB="0" distL="0" distR="0">
            <wp:extent cx="3295650" cy="1531620"/>
            <wp:effectExtent l="0" t="0" r="0" b="0"/>
            <wp:docPr id="11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3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b/>
          <w:color w:val="000000"/>
          <w:sz w:val="22"/>
        </w:rPr>
        <w:t>中标状态类</w:t>
      </w:r>
    </w:p>
    <w:p>
      <w:pPr>
        <w:numPr>
          <w:ilvl w:val="0"/>
          <w:numId w:val="4"/>
        </w:numPr>
      </w:pPr>
      <w:r>
        <w:rPr>
          <w:b/>
          <w:color w:val="000000"/>
          <w:sz w:val="22"/>
        </w:rPr>
        <w:t>中标登记</w:t>
      </w:r>
    </w:p>
    <w:p>
      <w:r>
        <w:t>关联项目信息，更新“投标备案”中的</w:t>
      </w:r>
      <w:r>
        <w:rPr>
          <w:rFonts w:ascii="PingFang SC" w:hAnsi="PingFang SC" w:eastAsia="PingFang SC" w:cs="PingFang SC"/>
          <w:color w:val="171A1D"/>
          <w:sz w:val="21"/>
        </w:rPr>
        <w:t>中标状态</w:t>
      </w:r>
    </w:p>
    <w:p>
      <w:r>
        <w:drawing>
          <wp:inline distT="0" distB="0" distL="0" distR="0">
            <wp:extent cx="3295650" cy="1591310"/>
            <wp:effectExtent l="0" t="0" r="0" b="0"/>
            <wp:docPr id="12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9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b/>
          <w:color w:val="000000"/>
          <w:sz w:val="22"/>
        </w:rPr>
        <w:t>入围未中标登记</w:t>
      </w:r>
    </w:p>
    <w:p>
      <w:r>
        <w:t>关联项目信息，更新“投标备案”中的</w:t>
      </w:r>
      <w:r>
        <w:rPr>
          <w:rFonts w:ascii="PingFang SC" w:hAnsi="PingFang SC" w:eastAsia="PingFang SC" w:cs="PingFang SC"/>
          <w:color w:val="171A1D"/>
          <w:sz w:val="21"/>
        </w:rPr>
        <w:t>中标状态</w:t>
      </w:r>
    </w:p>
    <w:p>
      <w:r>
        <w:drawing>
          <wp:inline distT="0" distB="0" distL="0" distR="0">
            <wp:extent cx="3295650" cy="1607185"/>
            <wp:effectExtent l="0" t="0" r="0" b="0"/>
            <wp:docPr id="13" name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ind w:left="480"/>
      </w:pPr>
    </w:p>
    <w:p>
      <w:pPr>
        <w:ind w:left="480"/>
      </w:pPr>
    </w:p>
    <w:p>
      <w:pPr>
        <w:ind w:left="480"/>
      </w:pPr>
    </w:p>
    <w:p>
      <w:pPr>
        <w:ind w:left="480"/>
        <w:jc w:val="center"/>
      </w:pPr>
      <w:r>
        <w:rPr>
          <w:b/>
          <w:color w:val="222328"/>
          <w:sz w:val="22"/>
          <w:shd w:val="clear" w:color="auto" w:fill="FCC102"/>
        </w:rPr>
        <w:t>如需定制服务请联系我们</w:t>
      </w:r>
    </w:p>
    <w:p>
      <w:pPr>
        <w:jc w:val="center"/>
      </w:pPr>
      <w:r>
        <w:rPr>
          <w:b/>
          <w:color w:val="404040"/>
          <w:sz w:val="22"/>
          <w:shd w:val="clear" w:color="auto" w:fill="FCC102"/>
        </w:rPr>
        <w:t>联系方式</w:t>
      </w:r>
    </w:p>
    <w:p>
      <w:pPr>
        <w:jc w:val="center"/>
        <w:rPr>
          <w:rFonts w:hint="eastAsia" w:eastAsiaTheme="minorEastAsia"/>
          <w:b/>
          <w:color w:val="404040"/>
          <w:sz w:val="22"/>
          <w:shd w:val="clear" w:color="auto" w:fill="FCC102"/>
          <w:lang w:eastAsia="zh-CN"/>
        </w:rPr>
      </w:pPr>
      <w:r>
        <w:rPr>
          <w:b/>
          <w:color w:val="404040"/>
          <w:sz w:val="22"/>
          <w:shd w:val="clear" w:color="auto" w:fill="FCC102"/>
        </w:rPr>
        <w:t>工作时间：9:30-18:00</w:t>
      </w:r>
    </w:p>
    <w:p>
      <w:pPr>
        <w:jc w:val="center"/>
        <w:rPr>
          <w:rFonts w:hint="eastAsia" w:eastAsiaTheme="minorEastAsia"/>
          <w:b/>
          <w:color w:val="404040"/>
          <w:sz w:val="22"/>
          <w:shd w:val="clear" w:color="auto" w:fill="FCC102"/>
          <w:lang w:eastAsia="zh-CN"/>
        </w:rPr>
      </w:pPr>
      <w:r>
        <w:rPr>
          <w:b/>
          <w:color w:val="404040"/>
          <w:sz w:val="22"/>
          <w:shd w:val="clear" w:color="auto" w:fill="FCC102"/>
        </w:rPr>
        <w:t>咨询电话：020-37276409</w:t>
      </w:r>
    </w:p>
    <w:p>
      <w:pPr>
        <w:jc w:val="center"/>
      </w:pPr>
      <w:r>
        <w:rPr>
          <w:b/>
          <w:color w:val="404040"/>
          <w:sz w:val="22"/>
          <w:shd w:val="clear" w:color="auto" w:fill="FCC102"/>
        </w:rPr>
        <w:t>客服邮箱：contactus@mingzheng.net.cn</w:t>
      </w:r>
    </w:p>
    <w:sectPr>
      <w:pgSz w:w="11899" w:h="16840"/>
      <w:pgMar w:top="1440" w:right="1080" w:bottom="1440" w:left="1080" w:header="85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MWZiMDJjZTNiYTY3NzNjNjE1MjJiMDYzOGI2ZjIifQ=="/>
  </w:docVars>
  <w:rsids>
    <w:rsidRoot w:val="00000000"/>
    <w:rsid w:val="60CE3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paragraph" w:customStyle="1" w:styleId="5">
    <w:name w:val="dingdocnormal"/>
    <w:uiPriority w:val="0"/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786</Words>
  <Characters>834</Characters>
  <TotalTime>0</TotalTime>
  <ScaleCrop>false</ScaleCrop>
  <LinksUpToDate>false</LinksUpToDate>
  <CharactersWithSpaces>845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灰太郎</cp:lastModifiedBy>
  <dcterms:modified xsi:type="dcterms:W3CDTF">2022-12-12T07:27:44Z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953EE8C828A14B7882FD6630FDBF1042</vt:lpwstr>
  </property>
</Properties>
</file>